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9FA" w:rsidRDefault="001B57D9">
      <w:pPr>
        <w:pStyle w:val="IQB-Aufgabentitel"/>
      </w:pPr>
      <w:r>
        <w:t xml:space="preserve">Didaktische </w:t>
      </w:r>
      <w:r>
        <w:t>Handreichung: Messzylinder</w:t>
      </w:r>
    </w:p>
    <w:p w:rsidR="001B57D9" w:rsidRPr="001B57D9" w:rsidRDefault="001B57D9" w:rsidP="001B57D9">
      <w:pPr>
        <w:pStyle w:val="IQB-Teilaufgabensubtitel"/>
        <w:rPr>
          <w:b/>
        </w:rPr>
      </w:pPr>
      <w:r w:rsidRPr="001B57D9">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1B57D9" w:rsidTr="00CB28B5">
        <w:tc>
          <w:tcPr>
            <w:tcW w:w="2466" w:type="dxa"/>
            <w:vAlign w:val="center"/>
          </w:tcPr>
          <w:p w:rsidR="001B57D9" w:rsidRDefault="001B57D9" w:rsidP="00CB28B5">
            <w:pPr>
              <w:pStyle w:val="IQB-Merkmal"/>
            </w:pPr>
            <w:r>
              <w:t>Leitidee</w:t>
            </w:r>
          </w:p>
        </w:tc>
        <w:tc>
          <w:tcPr>
            <w:tcW w:w="6604" w:type="dxa"/>
          </w:tcPr>
          <w:p w:rsidR="001B57D9" w:rsidRDefault="001B57D9" w:rsidP="00CB28B5">
            <w:pPr>
              <w:pStyle w:val="IQB-Merkmalswert"/>
            </w:pPr>
            <w:r>
              <w:t>2. Messen</w:t>
            </w:r>
          </w:p>
        </w:tc>
      </w:tr>
      <w:tr w:rsidR="001B57D9" w:rsidTr="00CB28B5">
        <w:tc>
          <w:tcPr>
            <w:tcW w:w="2466" w:type="dxa"/>
            <w:vAlign w:val="center"/>
          </w:tcPr>
          <w:p w:rsidR="001B57D9" w:rsidRDefault="001B57D9" w:rsidP="00CB28B5">
            <w:pPr>
              <w:pStyle w:val="IQB-Merkmal"/>
            </w:pPr>
            <w:r>
              <w:t>Allgemeine Kompetenz</w:t>
            </w:r>
          </w:p>
        </w:tc>
        <w:tc>
          <w:tcPr>
            <w:tcW w:w="6604" w:type="dxa"/>
          </w:tcPr>
          <w:p w:rsidR="001B57D9" w:rsidRDefault="001B57D9" w:rsidP="00CB28B5">
            <w:pPr>
              <w:pStyle w:val="IQB-Merkmalswert"/>
            </w:pPr>
            <w:r>
              <w:t>Mathematische Darstellungen verwenden (K4)</w:t>
            </w:r>
          </w:p>
        </w:tc>
      </w:tr>
      <w:tr w:rsidR="001B57D9" w:rsidTr="00CB28B5">
        <w:tc>
          <w:tcPr>
            <w:tcW w:w="2466" w:type="dxa"/>
            <w:vAlign w:val="center"/>
          </w:tcPr>
          <w:p w:rsidR="001B57D9" w:rsidRDefault="001B57D9" w:rsidP="00CB28B5">
            <w:pPr>
              <w:pStyle w:val="IQB-Merkmal"/>
            </w:pPr>
            <w:r>
              <w:t>Anforderungsbereich</w:t>
            </w:r>
          </w:p>
        </w:tc>
        <w:tc>
          <w:tcPr>
            <w:tcW w:w="6604" w:type="dxa"/>
          </w:tcPr>
          <w:p w:rsidR="001B57D9" w:rsidRDefault="001B57D9" w:rsidP="00CB28B5">
            <w:pPr>
              <w:pStyle w:val="IQB-Merkmalswert"/>
            </w:pPr>
            <w:r>
              <w:t>I</w:t>
            </w:r>
          </w:p>
        </w:tc>
      </w:tr>
      <w:tr w:rsidR="001B57D9" w:rsidTr="00CB28B5">
        <w:tc>
          <w:tcPr>
            <w:tcW w:w="2466" w:type="dxa"/>
            <w:vAlign w:val="center"/>
          </w:tcPr>
          <w:p w:rsidR="001B57D9" w:rsidRDefault="001B57D9" w:rsidP="00CB28B5">
            <w:pPr>
              <w:pStyle w:val="IQB-Merkmal"/>
            </w:pPr>
            <w:r>
              <w:t>Kompetenzstufe</w:t>
            </w:r>
          </w:p>
        </w:tc>
        <w:tc>
          <w:tcPr>
            <w:tcW w:w="6604" w:type="dxa"/>
          </w:tcPr>
          <w:p w:rsidR="001B57D9" w:rsidRDefault="001B57D9" w:rsidP="00CB28B5">
            <w:pPr>
              <w:pStyle w:val="IQB-Merkmalswert"/>
            </w:pPr>
            <w:r>
              <w:t>1a</w:t>
            </w:r>
          </w:p>
        </w:tc>
      </w:tr>
    </w:tbl>
    <w:p w:rsidR="001B57D9" w:rsidRPr="001B57D9" w:rsidRDefault="001B57D9" w:rsidP="001B57D9">
      <w:pPr>
        <w:pStyle w:val="IQB-Teilaufgabentitel"/>
        <w:rPr>
          <w:b/>
        </w:rPr>
      </w:pPr>
      <w:r w:rsidRPr="001B57D9">
        <w:rPr>
          <w:b/>
        </w:rPr>
        <w:t>Aufgabenbezogener Kommentar</w:t>
      </w:r>
    </w:p>
    <w:p w:rsidR="001B57D9" w:rsidRDefault="001B57D9" w:rsidP="001B57D9">
      <w:pPr>
        <w:pStyle w:val="Flietext"/>
      </w:pPr>
      <w:r>
        <w:t>Diese Aufgabe gehört zur Leitidee Messen (L2), da mit Größen gearbeitet wird.</w:t>
      </w:r>
    </w:p>
    <w:p w:rsidR="001B57D9" w:rsidRDefault="001B57D9" w:rsidP="001B57D9">
      <w:pPr>
        <w:pStyle w:val="Flietext"/>
      </w:pPr>
      <w:r>
        <w:t>Es ist eine Flüssigkeitsmenge auf einer Skala eines Messzylinders abzulesen (K4).</w:t>
      </w:r>
    </w:p>
    <w:p w:rsidR="001B57D9" w:rsidRDefault="001B57D9" w:rsidP="001B57D9">
      <w:pPr>
        <w:pStyle w:val="Flietext"/>
      </w:pPr>
      <w:r>
        <w:t>Diese Aufgabe wird dem Anforderungsbereich I zugeordnet, da eine vertraute Darstellung genutzt wird.</w:t>
      </w:r>
    </w:p>
    <w:p w:rsidR="001B57D9" w:rsidRDefault="001B57D9" w:rsidP="001B57D9">
      <w:pPr>
        <w:pStyle w:val="Flietext"/>
      </w:pPr>
    </w:p>
    <w:p w:rsidR="001B57D9" w:rsidRDefault="001B57D9" w:rsidP="001B57D9">
      <w:pPr>
        <w:pStyle w:val="Flietext"/>
      </w:pPr>
      <w:r>
        <w:t>Folgende Schwierigkeiten und Fehler sind zu erwarten:</w:t>
      </w:r>
    </w:p>
    <w:p w:rsidR="001B57D9" w:rsidRDefault="001B57D9" w:rsidP="001B57D9">
      <w:pPr>
        <w:pStyle w:val="Flietext"/>
        <w:numPr>
          <w:ilvl w:val="0"/>
          <w:numId w:val="5"/>
        </w:numPr>
      </w:pPr>
      <w:r>
        <w:t>Es entstehen Fehler beim Ablesen der Skala des Messzylinders:</w:t>
      </w:r>
      <w:r>
        <w:br/>
      </w:r>
      <w:r w:rsidRPr="00574125">
        <w:rPr>
          <w:noProof/>
        </w:rPr>
        <w:drawing>
          <wp:inline distT="0" distB="0" distL="0" distR="0">
            <wp:extent cx="1790700" cy="4857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5"/>
                    <pic:cNvPicPr>
                      <a:picLocks noChangeAspect="1" noChangeArrowheads="1"/>
                    </pic:cNvPicPr>
                  </pic:nvPicPr>
                  <pic:blipFill>
                    <a:blip r:embed="rId8" cstate="print">
                      <a:extLst>
                        <a:ext uri="{28A0092B-C50C-407E-A947-70E740481C1C}">
                          <a14:useLocalDpi xmlns:a14="http://schemas.microsoft.com/office/drawing/2010/main" val="0"/>
                        </a:ext>
                      </a:extLst>
                    </a:blip>
                    <a:srcRect l="4910" r="6458"/>
                    <a:stretch>
                      <a:fillRect/>
                    </a:stretch>
                  </pic:blipFill>
                  <pic:spPr bwMode="auto">
                    <a:xfrm>
                      <a:off x="0" y="0"/>
                      <a:ext cx="1790700" cy="485775"/>
                    </a:xfrm>
                    <a:prstGeom prst="rect">
                      <a:avLst/>
                    </a:prstGeom>
                    <a:solidFill>
                      <a:srgbClr val="FFFFFF"/>
                    </a:solidFill>
                    <a:ln>
                      <a:noFill/>
                    </a:ln>
                  </pic:spPr>
                </pic:pic>
              </a:graphicData>
            </a:graphic>
          </wp:inline>
        </w:drawing>
      </w:r>
      <w:r>
        <w:br/>
      </w:r>
      <w:r w:rsidRPr="00574125">
        <w:rPr>
          <w:noProof/>
        </w:rPr>
        <w:drawing>
          <wp:inline distT="0" distB="0" distL="0" distR="0">
            <wp:extent cx="1771650" cy="4762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6"/>
                    <pic:cNvPicPr>
                      <a:picLocks noChangeAspect="1" noChangeArrowheads="1"/>
                    </pic:cNvPicPr>
                  </pic:nvPicPr>
                  <pic:blipFill>
                    <a:blip r:embed="rId9" cstate="print">
                      <a:extLst>
                        <a:ext uri="{28A0092B-C50C-407E-A947-70E740481C1C}">
                          <a14:useLocalDpi xmlns:a14="http://schemas.microsoft.com/office/drawing/2010/main" val="0"/>
                        </a:ext>
                      </a:extLst>
                    </a:blip>
                    <a:srcRect l="10847" r="11955" b="21428"/>
                    <a:stretch>
                      <a:fillRect/>
                    </a:stretch>
                  </pic:blipFill>
                  <pic:spPr bwMode="auto">
                    <a:xfrm>
                      <a:off x="0" y="0"/>
                      <a:ext cx="1771650" cy="476250"/>
                    </a:xfrm>
                    <a:prstGeom prst="rect">
                      <a:avLst/>
                    </a:prstGeom>
                    <a:solidFill>
                      <a:srgbClr val="FFFFFF"/>
                    </a:solidFill>
                    <a:ln>
                      <a:noFill/>
                    </a:ln>
                  </pic:spPr>
                </pic:pic>
              </a:graphicData>
            </a:graphic>
          </wp:inline>
        </w:drawing>
      </w:r>
    </w:p>
    <w:p w:rsidR="001B57D9" w:rsidRPr="00455169" w:rsidRDefault="001B57D9" w:rsidP="001B57D9">
      <w:pPr>
        <w:pStyle w:val="Flietext"/>
        <w:numPr>
          <w:ilvl w:val="0"/>
          <w:numId w:val="5"/>
        </w:numPr>
      </w:pPr>
      <w:r>
        <w:t>Die vorgegebene Skalierung wird nicht korrekt erfasst, beispielsweise wird ab korrekt abgelesenen 200</w:t>
      </w:r>
      <w:r w:rsidRPr="0007327A">
        <w:rPr>
          <w:sz w:val="12"/>
          <w:szCs w:val="12"/>
        </w:rPr>
        <w:t xml:space="preserve"> </w:t>
      </w:r>
      <w:r>
        <w:t xml:space="preserve">ml für einen </w:t>
      </w:r>
      <w:proofErr w:type="spellStart"/>
      <w:r>
        <w:t>Skalastrich</w:t>
      </w:r>
      <w:proofErr w:type="spellEnd"/>
      <w:r>
        <w:t xml:space="preserve"> 1</w:t>
      </w:r>
      <w:r w:rsidRPr="0007327A">
        <w:rPr>
          <w:sz w:val="12"/>
          <w:szCs w:val="12"/>
        </w:rPr>
        <w:t xml:space="preserve"> </w:t>
      </w:r>
      <w:r>
        <w:t>ml angenommen:</w:t>
      </w:r>
      <w:r>
        <w:br/>
      </w:r>
      <w:r w:rsidRPr="00574125">
        <w:rPr>
          <w:noProof/>
        </w:rPr>
        <w:drawing>
          <wp:inline distT="0" distB="0" distL="0" distR="0">
            <wp:extent cx="1800225" cy="4572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7"/>
                    <pic:cNvPicPr>
                      <a:picLocks noChangeAspect="1" noChangeArrowheads="1"/>
                    </pic:cNvPicPr>
                  </pic:nvPicPr>
                  <pic:blipFill>
                    <a:blip r:embed="rId10" cstate="print">
                      <a:extLst>
                        <a:ext uri="{28A0092B-C50C-407E-A947-70E740481C1C}">
                          <a14:useLocalDpi xmlns:a14="http://schemas.microsoft.com/office/drawing/2010/main" val="0"/>
                        </a:ext>
                      </a:extLst>
                    </a:blip>
                    <a:srcRect l="14420" t="15230" r="12378" b="8955"/>
                    <a:stretch>
                      <a:fillRect/>
                    </a:stretch>
                  </pic:blipFill>
                  <pic:spPr bwMode="auto">
                    <a:xfrm>
                      <a:off x="0" y="0"/>
                      <a:ext cx="1800225" cy="457200"/>
                    </a:xfrm>
                    <a:prstGeom prst="rect">
                      <a:avLst/>
                    </a:prstGeom>
                    <a:solidFill>
                      <a:srgbClr val="FFFFFF"/>
                    </a:solidFill>
                    <a:ln>
                      <a:noFill/>
                    </a:ln>
                  </pic:spPr>
                </pic:pic>
              </a:graphicData>
            </a:graphic>
          </wp:inline>
        </w:drawing>
      </w:r>
    </w:p>
    <w:p w:rsidR="001B57D9" w:rsidRPr="001B57D9" w:rsidRDefault="001B57D9" w:rsidP="001B57D9">
      <w:pPr>
        <w:pStyle w:val="IQB-Teilaufgabentitel"/>
        <w:rPr>
          <w:b/>
        </w:rPr>
      </w:pPr>
      <w:r w:rsidRPr="001B57D9">
        <w:rPr>
          <w:b/>
        </w:rPr>
        <w:t>Anregungen für den Unterricht</w:t>
      </w:r>
    </w:p>
    <w:p w:rsidR="001B57D9" w:rsidRDefault="001B57D9" w:rsidP="001B57D9">
      <w:pPr>
        <w:pStyle w:val="Flietext"/>
        <w:rPr>
          <w:rFonts w:eastAsia="ヒラギノ角ゴ Pro W3"/>
        </w:rPr>
      </w:pPr>
      <w:r>
        <w:rPr>
          <w:rFonts w:eastAsia="ヒラギノ角ゴ Pro W3"/>
        </w:rPr>
        <w:t>Treten bei der Bearbeitung dieser Aufgabe Schwierigkeiten auf, bietet es sich an, weitere Aufgaben aus anderen Kontexten zu verwenden, bei denen ebenfalls Werte von Skalen abzulesen sind wie z. B. beim Thermometer (siehe hierzu auch die Aufgabe „Temperaturdifferenz“ der Lernstandserhebung 2014), insbesondere vor allem solche, die als Skalierung ein Vielfaches der Einheit verwenden. Weiterführend sind dabei A</w:t>
      </w:r>
      <w:bookmarkStart w:id="0" w:name="_GoBack"/>
      <w:bookmarkEnd w:id="0"/>
      <w:r>
        <w:rPr>
          <w:rFonts w:eastAsia="ヒラギノ角ゴ Pro W3"/>
        </w:rPr>
        <w:t>ufgaben empfehlenswert, die über das reine Ablesen hinaus zu einem vorgegebenen Anfangszustand die Bestimmung einer Veränderung (Steigen oder Fallen) oder eines Endzustands erfordern. Dabei können eigene Darstellungen genutzt werden: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1B57D9" w:rsidTr="00CB28B5">
        <w:trPr>
          <w:trHeight w:val="737"/>
        </w:trPr>
        <w:tc>
          <w:tcPr>
            <w:tcW w:w="199" w:type="dxa"/>
            <w:tcBorders>
              <w:top w:val="nil"/>
              <w:left w:val="nil"/>
              <w:bottom w:val="nil"/>
            </w:tcBorders>
            <w:shd w:val="clear" w:color="auto" w:fill="auto"/>
            <w:vAlign w:val="center"/>
          </w:tcPr>
          <w:p w:rsidR="001B57D9" w:rsidRDefault="001B57D9" w:rsidP="00CB28B5">
            <w:pPr>
              <w:pStyle w:val="Flietext"/>
              <w:spacing w:before="120"/>
              <w:rPr>
                <w:noProof/>
              </w:rPr>
            </w:pPr>
            <w:r>
              <w:rPr>
                <w:noProof/>
              </w:rPr>
              <mc:AlternateContent>
                <mc:Choice Requires="wps">
                  <w:drawing>
                    <wp:anchor distT="0" distB="0" distL="114299" distR="114299" simplePos="0" relativeHeight="251660288" behindDoc="0" locked="0" layoutInCell="1" allowOverlap="1">
                      <wp:simplePos x="0" y="0"/>
                      <wp:positionH relativeFrom="column">
                        <wp:posOffset>42544</wp:posOffset>
                      </wp:positionH>
                      <wp:positionV relativeFrom="paragraph">
                        <wp:posOffset>-24130</wp:posOffset>
                      </wp:positionV>
                      <wp:extent cx="0" cy="733425"/>
                      <wp:effectExtent l="19050" t="0" r="38100" b="47625"/>
                      <wp:wrapNone/>
                      <wp:docPr id="363" name="Gerader Verbinder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3342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112860F" id="Gerader Verbinder 363"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5pt,-1.9pt" to="3.35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" strokecolor="#bfbfbf" strokeweight="4.5pt">
                      <o:lock v:ext="edit" shapetype="f"/>
                    </v:line>
                  </w:pict>
                </mc:Fallback>
              </mc:AlternateContent>
            </w:r>
          </w:p>
        </w:tc>
        <w:tc>
          <w:tcPr>
            <w:tcW w:w="8985" w:type="dxa"/>
            <w:shd w:val="clear" w:color="auto" w:fill="auto"/>
            <w:vAlign w:val="center"/>
          </w:tcPr>
          <w:p w:rsidR="001B57D9" w:rsidRPr="00C25F06" w:rsidRDefault="001B57D9" w:rsidP="00CB28B5">
            <w:pPr>
              <w:pStyle w:val="Flietext"/>
              <w:spacing w:before="120"/>
              <w:rPr>
                <w:rFonts w:eastAsia="ヒラギノ角ゴ Pro W3"/>
                <w:szCs w:val="22"/>
              </w:rPr>
            </w:pPr>
            <w:r w:rsidRPr="00C25F06">
              <w:rPr>
                <w:rFonts w:eastAsia="ヒラギノ角ゴ Pro W3"/>
              </w:rPr>
              <w:t xml:space="preserve">In einem </w:t>
            </w:r>
            <w:r w:rsidRPr="00C25F06">
              <w:rPr>
                <w:rFonts w:eastAsia="ヒラギノ角ゴ Pro W3"/>
                <w:szCs w:val="22"/>
              </w:rPr>
              <w:t>Messzylinder sind 110</w:t>
            </w:r>
            <w:r w:rsidRPr="00C25F06">
              <w:rPr>
                <w:rFonts w:eastAsia="ヒラギノ角ゴ Pro W3"/>
                <w:sz w:val="12"/>
                <w:szCs w:val="12"/>
              </w:rPr>
              <w:t xml:space="preserve"> </w:t>
            </w:r>
            <w:r w:rsidRPr="00C25F06">
              <w:rPr>
                <w:rFonts w:eastAsia="ヒラギノ角ゴ Pro W3"/>
                <w:szCs w:val="22"/>
              </w:rPr>
              <w:t>ml Flüssigkeit. 70</w:t>
            </w:r>
            <w:r w:rsidRPr="00C25F06">
              <w:rPr>
                <w:rFonts w:eastAsia="ヒラギノ角ゴ Pro W3"/>
                <w:sz w:val="12"/>
                <w:szCs w:val="12"/>
              </w:rPr>
              <w:t xml:space="preserve"> </w:t>
            </w:r>
            <w:r w:rsidRPr="00C25F06">
              <w:rPr>
                <w:rFonts w:eastAsia="ヒラギノ角ゴ Pro W3"/>
                <w:szCs w:val="22"/>
              </w:rPr>
              <w:t>ml werden hinzugegossen.</w:t>
            </w:r>
          </w:p>
          <w:p w:rsidR="001B57D9" w:rsidRPr="00C25F06" w:rsidRDefault="001B57D9" w:rsidP="00CB28B5">
            <w:pPr>
              <w:pStyle w:val="Flietext"/>
              <w:spacing w:before="120"/>
              <w:rPr>
                <w:rFonts w:eastAsia="ヒラギノ角ゴ Pro W3"/>
                <w:sz w:val="24"/>
              </w:rPr>
            </w:pPr>
            <w:r w:rsidRPr="00C25F06">
              <w:rPr>
                <w:rFonts w:eastAsia="ヒラギノ角ゴ Pro W3"/>
                <w:szCs w:val="22"/>
              </w:rPr>
              <w:t>Skizziere den Messzylinder und bestimme, wie viel Flüssigkeit sich am Ende darin befindet.</w:t>
            </w:r>
          </w:p>
        </w:tc>
      </w:tr>
    </w:tbl>
    <w:p w:rsidR="001B57D9" w:rsidRDefault="001B57D9" w:rsidP="001B57D9">
      <w:pPr>
        <w:pStyle w:val="Flietext"/>
        <w:spacing w:before="120"/>
        <w:rPr>
          <w:rFonts w:eastAsia="ヒラギノ角ゴ Pro W3"/>
        </w:rPr>
      </w:pPr>
      <w:r>
        <w:rPr>
          <w:noProof/>
        </w:rPr>
        <mc:AlternateContent>
          <mc:Choice Requires="wps">
            <w:drawing>
              <wp:anchor distT="0" distB="0" distL="114299" distR="114299" simplePos="0" relativeHeight="251659264" behindDoc="0" locked="0" layoutInCell="1" allowOverlap="1">
                <wp:simplePos x="0" y="0"/>
                <wp:positionH relativeFrom="column">
                  <wp:posOffset>45719</wp:posOffset>
                </wp:positionH>
                <wp:positionV relativeFrom="paragraph">
                  <wp:posOffset>629920</wp:posOffset>
                </wp:positionV>
                <wp:extent cx="0" cy="584200"/>
                <wp:effectExtent l="19050" t="0" r="38100" b="44450"/>
                <wp:wrapNone/>
                <wp:docPr id="364" name="Gerader Verbinder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42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110A972" id="Gerader Verbinder 364"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6pt,49.6pt" to="3.6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" strokecolor="#bfbfbf" strokeweight="4.5pt">
                <o:lock v:ext="edit" shapetype="f"/>
              </v:line>
            </w:pict>
          </mc:Fallback>
        </mc:AlternateContent>
      </w:r>
      <w:r>
        <w:rPr>
          <w:rFonts w:eastAsia="ヒラギノ角ゴ Pro W3"/>
        </w:rPr>
        <w:t>Darüber hinaus kann zu einer symbolischen Darstellung sowohl die entsprechende ikonische Darstellung gefordert werden wie auch die Formulierung eines passenden Textes, wie in der folgenden 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1B57D9" w:rsidTr="00CB28B5">
        <w:trPr>
          <w:trHeight w:val="737"/>
        </w:trPr>
        <w:tc>
          <w:tcPr>
            <w:tcW w:w="199" w:type="dxa"/>
            <w:tcBorders>
              <w:top w:val="nil"/>
              <w:left w:val="nil"/>
              <w:bottom w:val="nil"/>
            </w:tcBorders>
            <w:shd w:val="clear" w:color="auto" w:fill="auto"/>
            <w:vAlign w:val="center"/>
          </w:tcPr>
          <w:p w:rsidR="001B57D9" w:rsidRPr="00C25F06" w:rsidRDefault="001B57D9" w:rsidP="00CB28B5">
            <w:pPr>
              <w:pStyle w:val="Flietext"/>
              <w:spacing w:before="120"/>
              <w:rPr>
                <w:rFonts w:eastAsia="ヒラギノ角ゴ Pro W3"/>
              </w:rPr>
            </w:pPr>
          </w:p>
        </w:tc>
        <w:tc>
          <w:tcPr>
            <w:tcW w:w="8985" w:type="dxa"/>
            <w:shd w:val="clear" w:color="auto" w:fill="auto"/>
            <w:vAlign w:val="center"/>
          </w:tcPr>
          <w:p w:rsidR="001B57D9" w:rsidRDefault="001B57D9" w:rsidP="00CB28B5">
            <w:pPr>
              <w:pStyle w:val="Flietext"/>
              <w:spacing w:before="120"/>
              <w:rPr>
                <w:rFonts w:eastAsia="ヒラギノ角ゴ Pro W3"/>
              </w:rPr>
            </w:pPr>
            <w:r w:rsidRPr="00B918FC">
              <w:rPr>
                <w:position w:val="-10"/>
              </w:rPr>
              <w:object w:dxaOrig="2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7pt;height:15pt" o:ole="">
                  <v:imagedata r:id="rId11" o:title=""/>
                </v:shape>
                <o:OLEObject Type="Embed" ProgID="Equation.DSMT4" ShapeID="_x0000_i1028" DrawAspect="Content" ObjectID="_1775637222" r:id="rId12"/>
              </w:object>
            </w:r>
          </w:p>
          <w:p w:rsidR="001B57D9" w:rsidRPr="00C25F06" w:rsidRDefault="001B57D9" w:rsidP="00CB28B5">
            <w:pPr>
              <w:pStyle w:val="Flietext"/>
              <w:spacing w:before="120"/>
              <w:rPr>
                <w:rFonts w:eastAsia="ヒラギノ角ゴ Pro W3"/>
              </w:rPr>
            </w:pPr>
            <w:r w:rsidRPr="00C25F06">
              <w:rPr>
                <w:rFonts w:eastAsia="ヒラギノ角ゴ Pro W3"/>
              </w:rPr>
              <w:t>Skizziere einen Messzylinder zu dieser Aufgabe und formuliere einen passenden Text.</w:t>
            </w:r>
          </w:p>
        </w:tc>
      </w:tr>
    </w:tbl>
    <w:p w:rsidR="006849FA" w:rsidRDefault="006849FA" w:rsidP="001B57D9">
      <w:pPr>
        <w:pStyle w:val="IQB-Teilaufgabentitel"/>
      </w:pPr>
    </w:p>
    <w:sectPr w:rsidR="006849FA" w:rsidSect="00DB65DC">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EC513B7"/>
    <w:multiLevelType w:val="hybridMultilevel"/>
    <w:tmpl w:val="AAE2355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B57D9"/>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49FA"/>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E7C62C3"/>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1B57D9"/>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94CD7-9410-40CB-B72B-7E897B8C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1631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2024-04-26T08:23:00Z</dcterms:created>
  <dcterms:modified xsi:type="dcterms:W3CDTF">2024-04-26T09:46:00Z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